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58A00">
      <w:pPr>
        <w:pStyle w:val="3"/>
        <w:shd w:val="clear" w:color="auto"/>
        <w:spacing w:beforeLines="50" w:beforeAutospacing="0" w:afterLines="50" w:afterAutospacing="0" w:line="405" w:lineRule="atLeast"/>
        <w:ind w:firstLine="0"/>
        <w:jc w:val="left"/>
        <w:rPr>
          <w:rStyle w:val="6"/>
          <w:rFonts w:hint="default" w:asciiTheme="minorHAnsi" w:hAnsiTheme="minorHAnsi" w:eastAsiaTheme="minorEastAsia" w:cstheme="minorBidi"/>
          <w:color w:val="000000"/>
          <w:sz w:val="21"/>
          <w:szCs w:val="21"/>
        </w:rPr>
      </w:pPr>
      <w:r>
        <w:rPr>
          <w:rStyle w:val="6"/>
          <w:rFonts w:hint="eastAsia" w:asciiTheme="minorHAnsi" w:hAnsiTheme="minorHAnsi" w:eastAsiaTheme="minorEastAsia" w:cstheme="minorBidi"/>
          <w:color w:val="000000"/>
          <w:sz w:val="21"/>
          <w:szCs w:val="21"/>
          <w:lang w:eastAsia="zh-CN"/>
        </w:rPr>
        <w:t>附件</w:t>
      </w:r>
      <w:r>
        <w:rPr>
          <w:rStyle w:val="6"/>
          <w:rFonts w:hint="eastAsia" w:asciiTheme="minorHAnsi" w:hAnsiTheme="minorHAnsi" w:eastAsiaTheme="minorEastAsia" w:cstheme="minorBidi"/>
          <w:color w:val="000000"/>
          <w:sz w:val="21"/>
          <w:szCs w:val="21"/>
          <w:lang w:val="en-US" w:eastAsia="zh-CN"/>
        </w:rPr>
        <w:t>：</w:t>
      </w:r>
    </w:p>
    <w:p w14:paraId="2D1ECA70">
      <w:pPr>
        <w:jc w:val="center"/>
      </w:pPr>
      <w:r>
        <w:rPr>
          <w:b/>
          <w:sz w:val="36"/>
        </w:rPr>
        <w:t xml:space="preserve"> 采购需求</w:t>
      </w:r>
    </w:p>
    <w:p w14:paraId="6F27EEC4">
      <w:r>
        <w:rPr>
          <w:b/>
          <w:sz w:val="28"/>
        </w:rPr>
        <w:t>一、项目概况：</w:t>
      </w:r>
    </w:p>
    <w:p w14:paraId="6EC554DF">
      <w:pPr>
        <w:jc w:val="both"/>
        <w:rPr>
          <w:rFonts w:hint="eastAsia" w:asciiTheme="minorEastAsia" w:hAnsiTheme="minorEastAsia" w:cstheme="minorEastAsia"/>
        </w:rPr>
      </w:pPr>
      <w:r>
        <w:rPr>
          <w:rFonts w:hint="eastAsia" w:asciiTheme="minorEastAsia" w:hAnsiTheme="minorEastAsia" w:cstheme="minorEastAsia"/>
          <w:sz w:val="21"/>
          <w:lang w:val="en-US" w:eastAsia="zh-CN"/>
        </w:rPr>
        <w:t>1.</w:t>
      </w:r>
      <w:r>
        <w:rPr>
          <w:rFonts w:hint="eastAsia" w:asciiTheme="minorEastAsia" w:hAnsiTheme="minorEastAsia" w:cstheme="minorEastAsia"/>
          <w:sz w:val="21"/>
          <w:lang w:eastAsia="zh-CN"/>
        </w:rPr>
        <w:t>广州市花都区第二人民</w:t>
      </w:r>
      <w:r>
        <w:rPr>
          <w:rFonts w:hint="eastAsia" w:asciiTheme="minorEastAsia" w:hAnsiTheme="minorEastAsia" w:cstheme="minorEastAsia"/>
          <w:sz w:val="21"/>
        </w:rPr>
        <w:t>医院</w:t>
      </w:r>
      <w:r>
        <w:rPr>
          <w:rFonts w:hint="eastAsia" w:asciiTheme="minorEastAsia" w:hAnsiTheme="minorEastAsia" w:cstheme="minorEastAsia"/>
          <w:sz w:val="21"/>
          <w:lang w:eastAsia="zh-CN"/>
        </w:rPr>
        <w:t>202</w:t>
      </w:r>
      <w:r>
        <w:rPr>
          <w:rFonts w:hint="eastAsia" w:asciiTheme="minorEastAsia" w:hAnsiTheme="minorEastAsia" w:cstheme="minorEastAsia"/>
          <w:sz w:val="21"/>
          <w:lang w:val="en-US" w:eastAsia="zh-CN"/>
        </w:rPr>
        <w:t>5</w:t>
      </w:r>
      <w:r>
        <w:rPr>
          <w:rFonts w:hint="eastAsia" w:asciiTheme="minorEastAsia" w:hAnsiTheme="minorEastAsia" w:cstheme="minorEastAsia"/>
          <w:sz w:val="21"/>
        </w:rPr>
        <w:t>年医疗责任保险项目</w:t>
      </w:r>
    </w:p>
    <w:p w14:paraId="351B202B"/>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43"/>
        <w:gridCol w:w="5063"/>
      </w:tblGrid>
      <w:tr w14:paraId="3C146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3243" w:type="dxa"/>
          </w:tcPr>
          <w:p w14:paraId="1BADEAF4">
            <w:pPr>
              <w:jc w:val="left"/>
            </w:pPr>
            <w:r>
              <w:t>服务期：</w:t>
            </w:r>
          </w:p>
        </w:tc>
        <w:tc>
          <w:tcPr>
            <w:tcW w:w="5063" w:type="dxa"/>
          </w:tcPr>
          <w:p w14:paraId="621AF86F">
            <w:pPr>
              <w:jc w:val="center"/>
            </w:pPr>
            <w:r>
              <w:t>自合同签订之日起1年</w:t>
            </w:r>
          </w:p>
        </w:tc>
      </w:tr>
      <w:tr w14:paraId="1462C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43" w:type="dxa"/>
            <w:vAlign w:val="center"/>
          </w:tcPr>
          <w:p w14:paraId="224E5091">
            <w:pPr>
              <w:widowControl/>
              <w:spacing w:line="360" w:lineRule="auto"/>
              <w:jc w:val="both"/>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全部医务人员人数（从事临床）</w:t>
            </w:r>
          </w:p>
        </w:tc>
        <w:tc>
          <w:tcPr>
            <w:tcW w:w="5063" w:type="dxa"/>
            <w:vAlign w:val="center"/>
          </w:tcPr>
          <w:p w14:paraId="4BCA3BD0">
            <w:pPr>
              <w:widowControl/>
              <w:spacing w:line="360" w:lineRule="auto"/>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不少于473人</w:t>
            </w:r>
          </w:p>
        </w:tc>
      </w:tr>
      <w:tr w14:paraId="76EAD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43" w:type="dxa"/>
            <w:vAlign w:val="center"/>
          </w:tcPr>
          <w:p w14:paraId="2A806A3E">
            <w:pPr>
              <w:widowControl/>
              <w:spacing w:line="360" w:lineRule="auto"/>
              <w:jc w:val="both"/>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医生人数（从事临床）</w:t>
            </w:r>
          </w:p>
        </w:tc>
        <w:tc>
          <w:tcPr>
            <w:tcW w:w="5063" w:type="dxa"/>
            <w:vAlign w:val="center"/>
          </w:tcPr>
          <w:p w14:paraId="2D79A471">
            <w:pPr>
              <w:widowControl/>
              <w:spacing w:line="360" w:lineRule="auto"/>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不少于194人</w:t>
            </w:r>
          </w:p>
        </w:tc>
      </w:tr>
      <w:tr w14:paraId="68359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43" w:type="dxa"/>
            <w:vAlign w:val="center"/>
          </w:tcPr>
          <w:p w14:paraId="7200D3EE">
            <w:pPr>
              <w:widowControl/>
              <w:spacing w:line="360" w:lineRule="auto"/>
              <w:jc w:val="both"/>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全部手术台次</w:t>
            </w:r>
          </w:p>
        </w:tc>
        <w:tc>
          <w:tcPr>
            <w:tcW w:w="5063" w:type="dxa"/>
            <w:vAlign w:val="center"/>
          </w:tcPr>
          <w:p w14:paraId="2B8A183A">
            <w:pPr>
              <w:widowControl/>
              <w:spacing w:line="360" w:lineRule="auto"/>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不少于5360次</w:t>
            </w:r>
          </w:p>
        </w:tc>
      </w:tr>
      <w:tr w14:paraId="23B3E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43" w:type="dxa"/>
            <w:vAlign w:val="center"/>
          </w:tcPr>
          <w:p w14:paraId="04696C77">
            <w:pPr>
              <w:widowControl/>
              <w:spacing w:line="360" w:lineRule="auto"/>
              <w:jc w:val="both"/>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入手术室的手术台次</w:t>
            </w:r>
          </w:p>
        </w:tc>
        <w:tc>
          <w:tcPr>
            <w:tcW w:w="5063" w:type="dxa"/>
            <w:vAlign w:val="center"/>
          </w:tcPr>
          <w:p w14:paraId="0424A680">
            <w:pPr>
              <w:widowControl/>
              <w:spacing w:line="360" w:lineRule="auto"/>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不少于2495次</w:t>
            </w:r>
          </w:p>
        </w:tc>
      </w:tr>
      <w:tr w14:paraId="73CD8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43" w:type="dxa"/>
            <w:vAlign w:val="center"/>
          </w:tcPr>
          <w:p w14:paraId="0912F4D4">
            <w:pPr>
              <w:widowControl/>
              <w:spacing w:line="360" w:lineRule="auto"/>
              <w:jc w:val="both"/>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实际床位数（床位*床位使用率）</w:t>
            </w:r>
          </w:p>
        </w:tc>
        <w:tc>
          <w:tcPr>
            <w:tcW w:w="5063" w:type="dxa"/>
            <w:vAlign w:val="center"/>
          </w:tcPr>
          <w:p w14:paraId="056B08F3">
            <w:pPr>
              <w:widowControl/>
              <w:spacing w:line="360" w:lineRule="auto"/>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251床</w:t>
            </w:r>
          </w:p>
        </w:tc>
      </w:tr>
      <w:tr w14:paraId="2D84B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43" w:type="dxa"/>
            <w:vAlign w:val="center"/>
          </w:tcPr>
          <w:p w14:paraId="53520CFD">
            <w:pPr>
              <w:widowControl/>
              <w:spacing w:line="360" w:lineRule="auto"/>
              <w:jc w:val="both"/>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保险期限</w:t>
            </w:r>
          </w:p>
        </w:tc>
        <w:tc>
          <w:tcPr>
            <w:tcW w:w="5063" w:type="dxa"/>
            <w:vAlign w:val="center"/>
          </w:tcPr>
          <w:p w14:paraId="2EF1A6CB">
            <w:pPr>
              <w:widowControl/>
              <w:spacing w:line="360" w:lineRule="auto"/>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1年</w:t>
            </w:r>
          </w:p>
        </w:tc>
      </w:tr>
      <w:tr w14:paraId="2375F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43" w:type="dxa"/>
            <w:vAlign w:val="center"/>
          </w:tcPr>
          <w:p w14:paraId="70A750E1">
            <w:pPr>
              <w:widowControl/>
              <w:spacing w:line="360" w:lineRule="auto"/>
              <w:jc w:val="both"/>
              <w:rPr>
                <w:rFonts w:hint="eastAsia" w:ascii="宋体" w:hAnsi="宋体" w:eastAsia="宋体" w:cs="宋体"/>
                <w:b w:val="0"/>
                <w:bCs/>
                <w:color w:val="000000"/>
                <w:kern w:val="0"/>
                <w:sz w:val="21"/>
                <w:szCs w:val="21"/>
                <w:lang w:val="en-US" w:eastAsia="zh-CN" w:bidi="ar-SA"/>
              </w:rPr>
            </w:pPr>
            <w:bookmarkStart w:id="0" w:name="_GoBack"/>
            <w:bookmarkEnd w:id="0"/>
            <w:r>
              <w:rPr>
                <w:rFonts w:hint="eastAsia" w:ascii="宋体" w:hAnsi="宋体" w:eastAsia="宋体" w:cs="宋体"/>
                <w:b w:val="0"/>
                <w:bCs/>
                <w:color w:val="000000"/>
                <w:kern w:val="0"/>
                <w:sz w:val="21"/>
                <w:szCs w:val="21"/>
                <w:lang w:val="en-US" w:eastAsia="zh-CN"/>
              </w:rPr>
              <w:t>追溯期</w:t>
            </w:r>
          </w:p>
        </w:tc>
        <w:tc>
          <w:tcPr>
            <w:tcW w:w="5063" w:type="dxa"/>
            <w:vAlign w:val="center"/>
          </w:tcPr>
          <w:p w14:paraId="6BCAFBB3">
            <w:pPr>
              <w:widowControl/>
              <w:spacing w:line="360" w:lineRule="auto"/>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rPr>
              <w:t>3年</w:t>
            </w:r>
          </w:p>
        </w:tc>
      </w:tr>
    </w:tbl>
    <w:p w14:paraId="7FEDC944"/>
    <w:p w14:paraId="41A3BB3A">
      <w:pPr>
        <w:spacing w:line="360" w:lineRule="auto"/>
        <w:ind w:firstLine="0" w:firstLineChars="0"/>
        <w:jc w:val="both"/>
      </w:pPr>
      <w:r>
        <w:rPr>
          <w:rFonts w:hint="eastAsia"/>
          <w:lang w:val="en-US" w:eastAsia="zh-CN"/>
        </w:rPr>
        <w:t>2.</w:t>
      </w:r>
      <w:r>
        <w:rPr>
          <w:sz w:val="21"/>
        </w:rPr>
        <w:t>服务要求：</w:t>
      </w:r>
    </w:p>
    <w:p w14:paraId="16C7CDD2">
      <w:pPr>
        <w:spacing w:line="360" w:lineRule="auto"/>
        <w:ind w:firstLine="420" w:firstLineChars="200"/>
        <w:jc w:val="both"/>
      </w:pPr>
      <w:r>
        <w:rPr>
          <w:sz w:val="21"/>
        </w:rPr>
        <w:t>1</w:t>
      </w:r>
      <w:r>
        <w:rPr>
          <w:rFonts w:hint="eastAsia"/>
          <w:sz w:val="21"/>
          <w:lang w:val="en-US" w:eastAsia="zh-CN"/>
        </w:rPr>
        <w:t>.</w:t>
      </w:r>
      <w:r>
        <w:rPr>
          <w:sz w:val="21"/>
        </w:rPr>
        <w:t>成立专项服务小组</w:t>
      </w:r>
    </w:p>
    <w:p w14:paraId="5E873613">
      <w:pPr>
        <w:spacing w:line="360" w:lineRule="auto"/>
        <w:ind w:firstLine="420" w:firstLineChars="200"/>
        <w:jc w:val="both"/>
      </w:pPr>
      <w:r>
        <w:rPr>
          <w:sz w:val="21"/>
        </w:rPr>
        <w:t>项目专项服务小组应按照以下方式组成：</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89"/>
        <w:gridCol w:w="2419"/>
        <w:gridCol w:w="2025"/>
        <w:gridCol w:w="2385"/>
      </w:tblGrid>
      <w:tr w14:paraId="3C60AE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589" w:type="dxa"/>
            <w:tcBorders>
              <w:top w:val="single" w:color="000000" w:sz="4" w:space="0"/>
              <w:left w:val="single" w:color="000000" w:sz="4" w:space="0"/>
              <w:bottom w:val="single" w:color="000000" w:sz="4" w:space="0"/>
              <w:right w:val="single" w:color="000000" w:sz="4" w:space="0"/>
            </w:tcBorders>
            <w:vAlign w:val="top"/>
          </w:tcPr>
          <w:p w14:paraId="4CC7A428">
            <w:pPr>
              <w:jc w:val="center"/>
            </w:pPr>
            <w:r>
              <w:rPr>
                <w:sz w:val="21"/>
              </w:rPr>
              <w:t>姓名</w:t>
            </w:r>
          </w:p>
        </w:tc>
        <w:tc>
          <w:tcPr>
            <w:tcW w:w="2419" w:type="dxa"/>
            <w:tcBorders>
              <w:top w:val="single" w:color="000000" w:sz="4" w:space="0"/>
              <w:left w:val="single" w:color="000000" w:sz="4" w:space="0"/>
              <w:bottom w:val="single" w:color="000000" w:sz="4" w:space="0"/>
              <w:right w:val="single" w:color="000000" w:sz="4" w:space="0"/>
            </w:tcBorders>
            <w:vAlign w:val="top"/>
          </w:tcPr>
          <w:p w14:paraId="247B842D">
            <w:pPr>
              <w:jc w:val="center"/>
            </w:pPr>
            <w:r>
              <w:rPr>
                <w:sz w:val="21"/>
              </w:rPr>
              <w:t>职务</w:t>
            </w:r>
          </w:p>
        </w:tc>
        <w:tc>
          <w:tcPr>
            <w:tcW w:w="2025" w:type="dxa"/>
            <w:tcBorders>
              <w:top w:val="single" w:color="000000" w:sz="4" w:space="0"/>
              <w:left w:val="single" w:color="000000" w:sz="4" w:space="0"/>
              <w:bottom w:val="single" w:color="000000" w:sz="4" w:space="0"/>
              <w:right w:val="single" w:color="000000" w:sz="4" w:space="0"/>
            </w:tcBorders>
            <w:vAlign w:val="top"/>
          </w:tcPr>
          <w:p w14:paraId="42EF9B80">
            <w:pPr>
              <w:jc w:val="center"/>
            </w:pPr>
            <w:r>
              <w:rPr>
                <w:sz w:val="21"/>
              </w:rPr>
              <w:t>办公电话</w:t>
            </w:r>
          </w:p>
        </w:tc>
        <w:tc>
          <w:tcPr>
            <w:tcW w:w="2385" w:type="dxa"/>
            <w:tcBorders>
              <w:top w:val="single" w:color="000000" w:sz="4" w:space="0"/>
              <w:left w:val="single" w:color="000000" w:sz="4" w:space="0"/>
              <w:bottom w:val="single" w:color="000000" w:sz="4" w:space="0"/>
              <w:right w:val="single" w:color="000000" w:sz="4" w:space="0"/>
            </w:tcBorders>
            <w:vAlign w:val="top"/>
          </w:tcPr>
          <w:p w14:paraId="13C493DB">
            <w:pPr>
              <w:jc w:val="center"/>
            </w:pPr>
            <w:r>
              <w:rPr>
                <w:sz w:val="21"/>
              </w:rPr>
              <w:t>手机</w:t>
            </w:r>
          </w:p>
        </w:tc>
      </w:tr>
      <w:tr w14:paraId="231BAD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589" w:type="dxa"/>
            <w:tcBorders>
              <w:top w:val="nil"/>
              <w:left w:val="single" w:color="000000" w:sz="4" w:space="0"/>
              <w:bottom w:val="single" w:color="000000" w:sz="4" w:space="0"/>
              <w:right w:val="single" w:color="000000" w:sz="4" w:space="0"/>
            </w:tcBorders>
            <w:vAlign w:val="top"/>
          </w:tcPr>
          <w:p w14:paraId="150C33B3">
            <w:pPr>
              <w:jc w:val="left"/>
            </w:pPr>
          </w:p>
        </w:tc>
        <w:tc>
          <w:tcPr>
            <w:tcW w:w="2419" w:type="dxa"/>
            <w:tcBorders>
              <w:top w:val="nil"/>
              <w:left w:val="single" w:color="000000" w:sz="4" w:space="0"/>
              <w:bottom w:val="single" w:color="000000" w:sz="4" w:space="0"/>
              <w:right w:val="single" w:color="000000" w:sz="4" w:space="0"/>
            </w:tcBorders>
            <w:vAlign w:val="top"/>
          </w:tcPr>
          <w:p w14:paraId="78A76593">
            <w:pPr>
              <w:jc w:val="left"/>
            </w:pPr>
            <w:r>
              <w:rPr>
                <w:sz w:val="21"/>
              </w:rPr>
              <w:t>应为专项服务小组领导人员</w:t>
            </w:r>
          </w:p>
        </w:tc>
        <w:tc>
          <w:tcPr>
            <w:tcW w:w="2025" w:type="dxa"/>
            <w:tcBorders>
              <w:top w:val="nil"/>
              <w:left w:val="single" w:color="000000" w:sz="4" w:space="0"/>
              <w:bottom w:val="single" w:color="000000" w:sz="4" w:space="0"/>
              <w:right w:val="single" w:color="000000" w:sz="4" w:space="0"/>
            </w:tcBorders>
            <w:vAlign w:val="top"/>
          </w:tcPr>
          <w:p w14:paraId="386CB3B8">
            <w:pPr>
              <w:jc w:val="left"/>
            </w:pPr>
          </w:p>
        </w:tc>
        <w:tc>
          <w:tcPr>
            <w:tcW w:w="2385" w:type="dxa"/>
            <w:tcBorders>
              <w:top w:val="nil"/>
              <w:left w:val="single" w:color="000000" w:sz="4" w:space="0"/>
              <w:bottom w:val="single" w:color="000000" w:sz="4" w:space="0"/>
              <w:right w:val="single" w:color="000000" w:sz="4" w:space="0"/>
            </w:tcBorders>
            <w:vAlign w:val="top"/>
          </w:tcPr>
          <w:p w14:paraId="6E4C7F04">
            <w:pPr>
              <w:jc w:val="left"/>
            </w:pPr>
          </w:p>
        </w:tc>
      </w:tr>
      <w:tr w14:paraId="378637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589" w:type="dxa"/>
            <w:tcBorders>
              <w:top w:val="nil"/>
              <w:left w:val="single" w:color="000000" w:sz="4" w:space="0"/>
              <w:bottom w:val="single" w:color="000000" w:sz="4" w:space="0"/>
              <w:right w:val="single" w:color="000000" w:sz="4" w:space="0"/>
            </w:tcBorders>
            <w:vAlign w:val="top"/>
          </w:tcPr>
          <w:p w14:paraId="12A6EEE2">
            <w:pPr>
              <w:jc w:val="left"/>
            </w:pPr>
          </w:p>
        </w:tc>
        <w:tc>
          <w:tcPr>
            <w:tcW w:w="2419" w:type="dxa"/>
            <w:tcBorders>
              <w:top w:val="nil"/>
              <w:left w:val="single" w:color="000000" w:sz="4" w:space="0"/>
              <w:bottom w:val="single" w:color="000000" w:sz="4" w:space="0"/>
              <w:right w:val="single" w:color="000000" w:sz="4" w:space="0"/>
            </w:tcBorders>
            <w:vAlign w:val="top"/>
          </w:tcPr>
          <w:p w14:paraId="4B182225">
            <w:pPr>
              <w:jc w:val="left"/>
            </w:pPr>
            <w:r>
              <w:rPr>
                <w:sz w:val="21"/>
              </w:rPr>
              <w:t>应为专项服务小组专项客服人员（至少1名，负责日常服务、参加评鉴会等）</w:t>
            </w:r>
          </w:p>
        </w:tc>
        <w:tc>
          <w:tcPr>
            <w:tcW w:w="2025" w:type="dxa"/>
            <w:tcBorders>
              <w:top w:val="nil"/>
              <w:left w:val="single" w:color="000000" w:sz="4" w:space="0"/>
              <w:bottom w:val="single" w:color="000000" w:sz="4" w:space="0"/>
              <w:right w:val="single" w:color="000000" w:sz="4" w:space="0"/>
            </w:tcBorders>
            <w:vAlign w:val="top"/>
          </w:tcPr>
          <w:p w14:paraId="28684E96">
            <w:pPr>
              <w:jc w:val="left"/>
            </w:pPr>
          </w:p>
        </w:tc>
        <w:tc>
          <w:tcPr>
            <w:tcW w:w="2385" w:type="dxa"/>
            <w:tcBorders>
              <w:top w:val="nil"/>
              <w:left w:val="single" w:color="000000" w:sz="4" w:space="0"/>
              <w:bottom w:val="single" w:color="000000" w:sz="4" w:space="0"/>
              <w:right w:val="single" w:color="000000" w:sz="4" w:space="0"/>
            </w:tcBorders>
            <w:vAlign w:val="top"/>
          </w:tcPr>
          <w:p w14:paraId="0CC60A12">
            <w:pPr>
              <w:jc w:val="left"/>
            </w:pPr>
          </w:p>
        </w:tc>
      </w:tr>
      <w:tr w14:paraId="6E98CD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589" w:type="dxa"/>
            <w:tcBorders>
              <w:top w:val="nil"/>
              <w:left w:val="single" w:color="000000" w:sz="4" w:space="0"/>
              <w:bottom w:val="single" w:color="000000" w:sz="4" w:space="0"/>
              <w:right w:val="single" w:color="000000" w:sz="4" w:space="0"/>
            </w:tcBorders>
            <w:vAlign w:val="top"/>
          </w:tcPr>
          <w:p w14:paraId="1E51E10C">
            <w:pPr>
              <w:jc w:val="left"/>
            </w:pPr>
          </w:p>
        </w:tc>
        <w:tc>
          <w:tcPr>
            <w:tcW w:w="2419" w:type="dxa"/>
            <w:tcBorders>
              <w:top w:val="nil"/>
              <w:left w:val="single" w:color="000000" w:sz="4" w:space="0"/>
              <w:bottom w:val="single" w:color="000000" w:sz="4" w:space="0"/>
              <w:right w:val="single" w:color="000000" w:sz="4" w:space="0"/>
            </w:tcBorders>
            <w:vAlign w:val="top"/>
          </w:tcPr>
          <w:p w14:paraId="0E2DA403">
            <w:pPr>
              <w:jc w:val="left"/>
            </w:pPr>
            <w:r>
              <w:rPr>
                <w:sz w:val="21"/>
              </w:rPr>
              <w:t>现场服务人员（负责勘查等工作）</w:t>
            </w:r>
          </w:p>
        </w:tc>
        <w:tc>
          <w:tcPr>
            <w:tcW w:w="2025" w:type="dxa"/>
            <w:tcBorders>
              <w:top w:val="nil"/>
              <w:left w:val="single" w:color="000000" w:sz="4" w:space="0"/>
              <w:bottom w:val="single" w:color="000000" w:sz="4" w:space="0"/>
              <w:right w:val="single" w:color="000000" w:sz="4" w:space="0"/>
            </w:tcBorders>
            <w:vAlign w:val="top"/>
          </w:tcPr>
          <w:p w14:paraId="47268551">
            <w:pPr>
              <w:jc w:val="left"/>
            </w:pPr>
          </w:p>
        </w:tc>
        <w:tc>
          <w:tcPr>
            <w:tcW w:w="2385" w:type="dxa"/>
            <w:tcBorders>
              <w:top w:val="nil"/>
              <w:left w:val="single" w:color="000000" w:sz="4" w:space="0"/>
              <w:bottom w:val="single" w:color="000000" w:sz="4" w:space="0"/>
              <w:right w:val="single" w:color="000000" w:sz="4" w:space="0"/>
            </w:tcBorders>
            <w:vAlign w:val="top"/>
          </w:tcPr>
          <w:p w14:paraId="7FF355B2">
            <w:pPr>
              <w:jc w:val="left"/>
            </w:pPr>
          </w:p>
        </w:tc>
      </w:tr>
    </w:tbl>
    <w:p w14:paraId="7E360707">
      <w:pPr>
        <w:spacing w:line="360" w:lineRule="auto"/>
        <w:ind w:firstLine="420" w:firstLineChars="200"/>
        <w:jc w:val="both"/>
      </w:pPr>
      <w:r>
        <w:rPr>
          <w:sz w:val="21"/>
        </w:rPr>
        <w:t>1.</w:t>
      </w:r>
      <w:r>
        <w:rPr>
          <w:rFonts w:hint="eastAsia"/>
          <w:sz w:val="21"/>
          <w:lang w:val="en-US" w:eastAsia="zh-CN"/>
        </w:rPr>
        <w:t>1</w:t>
      </w:r>
      <w:r>
        <w:rPr>
          <w:sz w:val="21"/>
        </w:rPr>
        <w:t>协助被保险人建立医疗执业风险管理及防范制度</w:t>
      </w:r>
    </w:p>
    <w:p w14:paraId="68C6C25E">
      <w:pPr>
        <w:spacing w:line="360" w:lineRule="auto"/>
        <w:ind w:firstLine="420" w:firstLineChars="200"/>
        <w:jc w:val="both"/>
      </w:pPr>
      <w:r>
        <w:rPr>
          <w:sz w:val="21"/>
        </w:rPr>
        <w:t>1）医疗执业风险管理及防范制度</w:t>
      </w:r>
    </w:p>
    <w:p w14:paraId="6B839112">
      <w:pPr>
        <w:spacing w:line="360" w:lineRule="auto"/>
        <w:ind w:firstLine="420" w:firstLineChars="200"/>
        <w:jc w:val="both"/>
      </w:pPr>
      <w:r>
        <w:rPr>
          <w:sz w:val="21"/>
        </w:rPr>
        <w:t>承保人应配合广东省医疗责任保险机制，对被保险人进行必要的风险防范服务，不定期和被保险人举办研讨活动，共同探讨、总结保险及风险管理方面的经验，在保险期内，针对被保险人的风险情况，提出有针对性的防灾防损建议。</w:t>
      </w:r>
    </w:p>
    <w:p w14:paraId="5EE4963A">
      <w:pPr>
        <w:spacing w:line="360" w:lineRule="auto"/>
        <w:ind w:firstLine="420" w:firstLineChars="200"/>
        <w:jc w:val="both"/>
      </w:pPr>
      <w:r>
        <w:rPr>
          <w:sz w:val="21"/>
        </w:rPr>
        <w:t>2）培训制度</w:t>
      </w:r>
    </w:p>
    <w:p w14:paraId="562CB05F">
      <w:pPr>
        <w:spacing w:line="360" w:lineRule="auto"/>
        <w:ind w:firstLine="420" w:firstLineChars="200"/>
        <w:jc w:val="both"/>
      </w:pPr>
      <w:r>
        <w:rPr>
          <w:sz w:val="21"/>
        </w:rPr>
        <w:t>保险合同有效期内，承保人应为投保人/被保险人集中举办至少两次保险和风险防范培训，以提高投保人/被保险人相关人员的保险与风险管理知识。</w:t>
      </w:r>
    </w:p>
    <w:p w14:paraId="5B9F7548">
      <w:pPr>
        <w:spacing w:line="360" w:lineRule="auto"/>
        <w:ind w:firstLine="420" w:firstLineChars="200"/>
        <w:jc w:val="both"/>
      </w:pPr>
      <w:r>
        <w:rPr>
          <w:sz w:val="21"/>
        </w:rPr>
        <w:t>1.</w:t>
      </w:r>
      <w:r>
        <w:rPr>
          <w:rFonts w:hint="eastAsia"/>
          <w:sz w:val="21"/>
          <w:lang w:val="en-US" w:eastAsia="zh-CN"/>
        </w:rPr>
        <w:t>2</w:t>
      </w:r>
      <w:r>
        <w:rPr>
          <w:sz w:val="21"/>
        </w:rPr>
        <w:t>承保与出单</w:t>
      </w:r>
    </w:p>
    <w:p w14:paraId="7225F1D3">
      <w:pPr>
        <w:spacing w:line="360" w:lineRule="auto"/>
        <w:ind w:firstLine="420" w:firstLineChars="200"/>
        <w:jc w:val="both"/>
        <w:rPr>
          <w:sz w:val="21"/>
          <w:szCs w:val="21"/>
        </w:rPr>
      </w:pPr>
      <w:r>
        <w:rPr>
          <w:sz w:val="21"/>
          <w:szCs w:val="21"/>
        </w:rPr>
        <w:t>保险公司应配备客户服务专员及相应设备，为投保人办理承保出单手续。</w:t>
      </w:r>
    </w:p>
    <w:p w14:paraId="48BB9CBD">
      <w:pPr>
        <w:numPr>
          <w:ilvl w:val="-1"/>
          <w:numId w:val="0"/>
        </w:numPr>
        <w:spacing w:line="360" w:lineRule="auto"/>
        <w:ind w:firstLine="420" w:firstLineChars="200"/>
        <w:jc w:val="both"/>
        <w:rPr>
          <w:rFonts w:hint="eastAsia"/>
          <w:sz w:val="21"/>
          <w:lang w:val="en-US" w:eastAsia="zh-CN"/>
        </w:rPr>
      </w:pPr>
      <w:r>
        <w:rPr>
          <w:rFonts w:hint="eastAsia"/>
          <w:sz w:val="21"/>
          <w:lang w:val="en-US" w:eastAsia="zh-CN"/>
        </w:rPr>
        <w:t>2.理赔时效</w:t>
      </w:r>
    </w:p>
    <w:p w14:paraId="3C9C3C56">
      <w:pPr>
        <w:spacing w:line="360" w:lineRule="auto"/>
        <w:ind w:firstLine="420" w:firstLineChars="200"/>
        <w:jc w:val="both"/>
      </w:pPr>
      <w:r>
        <w:rPr>
          <w:sz w:val="21"/>
        </w:rPr>
        <w:t>2.1快速理赔</w:t>
      </w:r>
    </w:p>
    <w:p w14:paraId="220ACDE2">
      <w:pPr>
        <w:spacing w:line="360" w:lineRule="auto"/>
        <w:ind w:firstLine="420" w:firstLineChars="200"/>
        <w:jc w:val="both"/>
      </w:pPr>
      <w:r>
        <w:rPr>
          <w:sz w:val="21"/>
        </w:rPr>
        <w:t>发生保险责任范围内事故后，对事实清楚，法律责任明确，属于保险责任事故的医患纠纷案件，自保险人完成核赔，且与被保险人达成一致</w:t>
      </w:r>
      <w:r>
        <w:rPr>
          <w:rFonts w:hint="eastAsia"/>
          <w:sz w:val="21"/>
          <w:lang w:val="en-US" w:eastAsia="zh-CN"/>
        </w:rPr>
        <w:t>时</w:t>
      </w:r>
      <w:r>
        <w:rPr>
          <w:sz w:val="21"/>
        </w:rPr>
        <w:t>，按下列理赔时效承诺：</w:t>
      </w:r>
    </w:p>
    <w:p w14:paraId="469F8412">
      <w:pPr>
        <w:spacing w:line="360" w:lineRule="auto"/>
        <w:ind w:firstLine="420" w:firstLineChars="200"/>
        <w:jc w:val="both"/>
      </w:pPr>
      <w:r>
        <w:rPr>
          <w:sz w:val="21"/>
        </w:rPr>
        <w:t xml:space="preserve"> 1万以下的赔案，3个工作日内作出赔付；</w:t>
      </w:r>
    </w:p>
    <w:p w14:paraId="01E8AE47">
      <w:pPr>
        <w:spacing w:line="360" w:lineRule="auto"/>
        <w:ind w:firstLine="420" w:firstLineChars="200"/>
        <w:jc w:val="both"/>
      </w:pPr>
      <w:r>
        <w:rPr>
          <w:sz w:val="21"/>
        </w:rPr>
        <w:t xml:space="preserve"> 5万以下的赔案，5个工作日内作出赔付；</w:t>
      </w:r>
    </w:p>
    <w:p w14:paraId="3C35A8CB">
      <w:pPr>
        <w:spacing w:line="360" w:lineRule="auto"/>
        <w:ind w:firstLine="420" w:firstLineChars="200"/>
        <w:jc w:val="both"/>
      </w:pPr>
      <w:r>
        <w:rPr>
          <w:sz w:val="21"/>
        </w:rPr>
        <w:t xml:space="preserve"> 20万以下的赔案，7个工作日内作出赔付；</w:t>
      </w:r>
    </w:p>
    <w:p w14:paraId="134FEF05">
      <w:pPr>
        <w:spacing w:line="360" w:lineRule="auto"/>
        <w:ind w:firstLine="420" w:firstLineChars="200"/>
        <w:jc w:val="both"/>
      </w:pPr>
      <w:r>
        <w:rPr>
          <w:sz w:val="21"/>
        </w:rPr>
        <w:t xml:space="preserve"> 20万元以上的赔案在10个工作日内作出赔付。</w:t>
      </w:r>
    </w:p>
    <w:p w14:paraId="2C2A7A73">
      <w:pPr>
        <w:spacing w:line="360" w:lineRule="auto"/>
        <w:ind w:firstLine="420" w:firstLineChars="200"/>
        <w:jc w:val="both"/>
      </w:pPr>
      <w:r>
        <w:rPr>
          <w:sz w:val="21"/>
        </w:rPr>
        <w:t>2.2核损核赔时效制</w:t>
      </w:r>
    </w:p>
    <w:p w14:paraId="6F3BD9D2">
      <w:pPr>
        <w:spacing w:line="360" w:lineRule="auto"/>
        <w:ind w:firstLine="420" w:firstLineChars="200"/>
        <w:jc w:val="both"/>
      </w:pPr>
      <w:r>
        <w:rPr>
          <w:sz w:val="21"/>
        </w:rPr>
        <w:t>经医调委评鉴或合议程序处理的，收到合议决定、调解协议书副本和相关材料后，在下述规定时间内作出理赔决定</w:t>
      </w:r>
      <w:r>
        <w:rPr>
          <w:rFonts w:hint="eastAsia"/>
          <w:sz w:val="21"/>
          <w:lang w:eastAsia="zh-CN"/>
        </w:rPr>
        <w:t>：</w:t>
      </w:r>
    </w:p>
    <w:p w14:paraId="149440A1">
      <w:pPr>
        <w:spacing w:line="360" w:lineRule="auto"/>
        <w:ind w:firstLine="420" w:firstLineChars="200"/>
        <w:jc w:val="both"/>
      </w:pPr>
      <w:r>
        <w:rPr>
          <w:sz w:val="21"/>
        </w:rPr>
        <w:t>1</w:t>
      </w:r>
      <w:r>
        <w:rPr>
          <w:rFonts w:hint="eastAsia"/>
          <w:sz w:val="21"/>
          <w:lang w:eastAsia="zh-CN"/>
        </w:rPr>
        <w:t>）</w:t>
      </w:r>
      <w:r>
        <w:rPr>
          <w:sz w:val="21"/>
        </w:rPr>
        <w:t>索赔金额在人民币5万元（或等值外币，含5万元）以下的，应在5个工作日内向被保险人提出异议，若在上述时间内未提出异议的，即视为双方就赔偿结果达成一致。</w:t>
      </w:r>
    </w:p>
    <w:p w14:paraId="364E30FC">
      <w:pPr>
        <w:spacing w:line="360" w:lineRule="auto"/>
        <w:ind w:firstLine="420" w:firstLineChars="200"/>
        <w:jc w:val="both"/>
      </w:pPr>
      <w:r>
        <w:rPr>
          <w:sz w:val="21"/>
        </w:rPr>
        <w:t>2</w:t>
      </w:r>
      <w:r>
        <w:rPr>
          <w:rFonts w:hint="eastAsia"/>
          <w:sz w:val="21"/>
          <w:lang w:eastAsia="zh-CN"/>
        </w:rPr>
        <w:t>）</w:t>
      </w:r>
      <w:r>
        <w:rPr>
          <w:sz w:val="21"/>
        </w:rPr>
        <w:t>索赔金额在人民币5—30万元（或等值外币，不含5万元，含30万元）的，应在7工作日内向被保险人提出异议，若在上述时间内未提出异议的，即视为双方就赔偿结果达成一致。</w:t>
      </w:r>
    </w:p>
    <w:p w14:paraId="07A2A8BE">
      <w:pPr>
        <w:spacing w:line="360" w:lineRule="auto"/>
        <w:ind w:firstLine="420" w:firstLineChars="200"/>
        <w:jc w:val="both"/>
      </w:pPr>
      <w:r>
        <w:rPr>
          <w:sz w:val="21"/>
        </w:rPr>
        <w:t>3</w:t>
      </w:r>
      <w:r>
        <w:rPr>
          <w:rFonts w:hint="eastAsia"/>
          <w:sz w:val="21"/>
          <w:lang w:eastAsia="zh-CN"/>
        </w:rPr>
        <w:t>）</w:t>
      </w:r>
      <w:r>
        <w:rPr>
          <w:sz w:val="21"/>
        </w:rPr>
        <w:t>30万元以上的赔案（或等值外币）以上的，应在10工作日内向被保险人提出异议，若在上述时间内未提出异议的，即视为双方就赔偿结果达成一致。</w:t>
      </w:r>
    </w:p>
    <w:p w14:paraId="72515639">
      <w:pPr>
        <w:spacing w:line="360" w:lineRule="auto"/>
        <w:ind w:firstLine="420" w:firstLineChars="200"/>
        <w:jc w:val="both"/>
      </w:pPr>
      <w:r>
        <w:rPr>
          <w:sz w:val="21"/>
        </w:rPr>
        <w:t>2.3 保险公估人服务</w:t>
      </w:r>
    </w:p>
    <w:p w14:paraId="0DD56D83">
      <w:pPr>
        <w:spacing w:line="360" w:lineRule="auto"/>
        <w:ind w:firstLine="420" w:firstLineChars="200"/>
        <w:jc w:val="both"/>
      </w:pPr>
      <w:r>
        <w:rPr>
          <w:sz w:val="21"/>
        </w:rPr>
        <w:t>承保人承诺：本项目出险后：1</w:t>
      </w:r>
      <w:r>
        <w:rPr>
          <w:rFonts w:hint="eastAsia"/>
          <w:sz w:val="21"/>
          <w:lang w:eastAsia="zh-CN"/>
        </w:rPr>
        <w:t>）</w:t>
      </w:r>
      <w:r>
        <w:rPr>
          <w:sz w:val="21"/>
        </w:rPr>
        <w:t>承保人如聘请公估人负责理赔，必须得到被保险人的认可；2</w:t>
      </w:r>
      <w:r>
        <w:rPr>
          <w:rFonts w:hint="eastAsia"/>
          <w:sz w:val="21"/>
          <w:lang w:eastAsia="zh-CN"/>
        </w:rPr>
        <w:t>）</w:t>
      </w:r>
      <w:r>
        <w:rPr>
          <w:sz w:val="21"/>
        </w:rPr>
        <w:t>若出险后保险合同双方对于事故的保险责任和赔偿金额的认定不能达成一致时，应被保险人要求，应通过协商确定保险公估人，委请公估人的所有费用由承保人负担。在此情况下，赔案由公估人与承保人共同处理。承保人的主要任务是协助公估人工作，由公估人出具最终理算报告。</w:t>
      </w:r>
    </w:p>
    <w:p w14:paraId="27473347">
      <w:pPr>
        <w:spacing w:line="360" w:lineRule="auto"/>
        <w:ind w:firstLine="420" w:firstLineChars="200"/>
        <w:jc w:val="both"/>
      </w:pPr>
      <w:r>
        <w:rPr>
          <w:sz w:val="21"/>
        </w:rPr>
        <w:t>2.4 定期提供理赔统计报表</w:t>
      </w:r>
    </w:p>
    <w:p w14:paraId="2B839661">
      <w:pPr>
        <w:numPr>
          <w:ilvl w:val="-1"/>
          <w:numId w:val="0"/>
        </w:numPr>
        <w:spacing w:line="360" w:lineRule="auto"/>
        <w:ind w:firstLine="420" w:firstLineChars="200"/>
        <w:jc w:val="both"/>
        <w:rPr>
          <w:rFonts w:hint="default"/>
          <w:sz w:val="21"/>
          <w:lang w:val="en-US" w:eastAsia="zh-CN"/>
        </w:rPr>
      </w:pPr>
      <w:r>
        <w:rPr>
          <w:sz w:val="21"/>
        </w:rPr>
        <w:t>承保人应于每季度最后一个月的15日前向被保险人提供理赔统计报表，报表应包括损失发生的时间、地点、损失原因、估损金额、定损金额、赔款等与赔案处理有关的信息。</w:t>
      </w:r>
    </w:p>
    <w:p w14:paraId="4BF7ACF4">
      <w:pPr>
        <w:spacing w:line="360" w:lineRule="auto"/>
        <w:ind w:firstLine="420" w:firstLineChars="200"/>
        <w:jc w:val="both"/>
        <w:rPr>
          <w:color w:val="auto"/>
        </w:rPr>
      </w:pPr>
      <w:r>
        <w:rPr>
          <w:rFonts w:hint="eastAsia"/>
          <w:lang w:val="en-US" w:eastAsia="zh-CN"/>
        </w:rPr>
        <w:t>3.</w:t>
      </w:r>
      <w:r>
        <w:rPr>
          <w:color w:val="auto"/>
          <w:sz w:val="21"/>
        </w:rPr>
        <w:t>赔偿限额：</w:t>
      </w:r>
    </w:p>
    <w:p w14:paraId="7631BF3B">
      <w:pPr>
        <w:spacing w:line="360" w:lineRule="auto"/>
        <w:ind w:firstLine="420" w:firstLineChars="200"/>
        <w:jc w:val="both"/>
        <w:rPr>
          <w:color w:val="auto"/>
        </w:rPr>
      </w:pPr>
      <w:r>
        <w:rPr>
          <w:color w:val="auto"/>
          <w:sz w:val="21"/>
        </w:rPr>
        <w:t xml:space="preserve">累计赔偿限额（即全年累计赔偿限额）：RMB </w:t>
      </w:r>
      <w:r>
        <w:rPr>
          <w:rFonts w:hint="eastAsia"/>
          <w:color w:val="auto"/>
          <w:sz w:val="21"/>
          <w:lang w:val="en-US" w:eastAsia="zh-CN"/>
        </w:rPr>
        <w:t>120</w:t>
      </w:r>
      <w:r>
        <w:rPr>
          <w:color w:val="auto"/>
          <w:sz w:val="21"/>
        </w:rPr>
        <w:t>万元；</w:t>
      </w:r>
    </w:p>
    <w:p w14:paraId="72AB3D6A">
      <w:pPr>
        <w:spacing w:line="360" w:lineRule="auto"/>
        <w:ind w:firstLine="420" w:firstLineChars="200"/>
        <w:jc w:val="both"/>
        <w:rPr>
          <w:color w:val="auto"/>
          <w:sz w:val="21"/>
        </w:rPr>
      </w:pPr>
      <w:r>
        <w:rPr>
          <w:color w:val="auto"/>
          <w:sz w:val="21"/>
        </w:rPr>
        <w:t>每次事故赔偿限额（即每次保险事故赔偿限额）：RMB</w:t>
      </w:r>
      <w:r>
        <w:rPr>
          <w:rFonts w:hint="eastAsia"/>
          <w:color w:val="auto"/>
          <w:sz w:val="21"/>
          <w:lang w:val="en-US" w:eastAsia="zh-CN"/>
        </w:rPr>
        <w:t>120</w:t>
      </w:r>
      <w:r>
        <w:rPr>
          <w:color w:val="auto"/>
          <w:sz w:val="21"/>
        </w:rPr>
        <w:t>万元；</w:t>
      </w:r>
    </w:p>
    <w:p w14:paraId="59C95287">
      <w:pPr>
        <w:spacing w:line="360" w:lineRule="auto"/>
        <w:ind w:firstLine="420" w:firstLineChars="200"/>
        <w:jc w:val="both"/>
        <w:rPr>
          <w:rFonts w:hint="default" w:eastAsiaTheme="minorEastAsia"/>
          <w:color w:val="auto"/>
          <w:sz w:val="21"/>
          <w:lang w:val="en-US" w:eastAsia="zh-CN"/>
        </w:rPr>
      </w:pPr>
      <w:r>
        <w:rPr>
          <w:rFonts w:hint="eastAsia"/>
          <w:color w:val="auto"/>
          <w:sz w:val="21"/>
          <w:lang w:eastAsia="zh-CN"/>
        </w:rPr>
        <w:t>每人赔偿限额</w:t>
      </w:r>
      <w:r>
        <w:rPr>
          <w:rFonts w:hint="eastAsia"/>
          <w:color w:val="auto"/>
          <w:sz w:val="21"/>
          <w:lang w:val="en-US" w:eastAsia="zh-CN"/>
        </w:rPr>
        <w:t>24万；</w:t>
      </w:r>
    </w:p>
    <w:p w14:paraId="2FE50150">
      <w:pPr>
        <w:spacing w:line="360" w:lineRule="auto"/>
        <w:ind w:firstLine="420" w:firstLineChars="200"/>
        <w:jc w:val="both"/>
        <w:rPr>
          <w:color w:val="auto"/>
          <w:sz w:val="21"/>
        </w:rPr>
      </w:pPr>
      <w:r>
        <w:rPr>
          <w:color w:val="auto"/>
          <w:sz w:val="21"/>
        </w:rPr>
        <w:t>法律费用每次</w:t>
      </w:r>
      <w:r>
        <w:rPr>
          <w:rFonts w:hint="eastAsia"/>
          <w:color w:val="auto"/>
          <w:sz w:val="21"/>
          <w:lang w:val="en-US" w:eastAsia="zh-CN"/>
        </w:rPr>
        <w:t>赔偿限额</w:t>
      </w:r>
      <w:r>
        <w:rPr>
          <w:color w:val="auto"/>
          <w:sz w:val="21"/>
        </w:rPr>
        <w:t>RMB</w:t>
      </w:r>
      <w:r>
        <w:rPr>
          <w:rFonts w:hint="eastAsia"/>
          <w:color w:val="auto"/>
          <w:sz w:val="21"/>
          <w:lang w:val="en-US" w:eastAsia="zh-CN"/>
        </w:rPr>
        <w:t>2.4</w:t>
      </w:r>
      <w:r>
        <w:rPr>
          <w:color w:val="auto"/>
          <w:sz w:val="21"/>
        </w:rPr>
        <w:t>万元</w:t>
      </w:r>
      <w:r>
        <w:rPr>
          <w:rFonts w:hint="eastAsia"/>
          <w:color w:val="auto"/>
          <w:sz w:val="21"/>
          <w:lang w:eastAsia="zh-CN"/>
        </w:rPr>
        <w:t>，</w:t>
      </w:r>
      <w:r>
        <w:rPr>
          <w:color w:val="auto"/>
          <w:sz w:val="21"/>
        </w:rPr>
        <w:t>累计赔偿限额: RMB</w:t>
      </w:r>
      <w:r>
        <w:rPr>
          <w:rFonts w:hint="eastAsia"/>
          <w:color w:val="auto"/>
          <w:sz w:val="21"/>
          <w:lang w:val="en-US" w:eastAsia="zh-CN"/>
        </w:rPr>
        <w:t>12</w:t>
      </w:r>
      <w:r>
        <w:rPr>
          <w:color w:val="auto"/>
          <w:sz w:val="21"/>
        </w:rPr>
        <w:t>万元。</w:t>
      </w:r>
    </w:p>
    <w:p w14:paraId="14468016">
      <w:pPr>
        <w:spacing w:line="360" w:lineRule="auto"/>
        <w:ind w:firstLine="420" w:firstLineChars="200"/>
        <w:rPr>
          <w:rFonts w:hint="default" w:eastAsiaTheme="minorEastAsia"/>
          <w:lang w:val="en-US" w:eastAsia="zh-CN"/>
        </w:rPr>
      </w:pPr>
      <w:r>
        <w:rPr>
          <w:rFonts w:hint="eastAsia" w:ascii="宋体" w:hAnsi="宋体" w:eastAsia="宋体" w:cs="宋体"/>
          <w:b w:val="0"/>
          <w:bCs/>
          <w:color w:val="000000"/>
          <w:kern w:val="0"/>
          <w:sz w:val="21"/>
          <w:szCs w:val="21"/>
          <w:lang w:val="en-US" w:eastAsia="zh-CN"/>
        </w:rPr>
        <w:t>精神损害每人责任限额为医疗责任每人责任限额的30%，并包含在医疗责任每人责任限额内。</w:t>
      </w:r>
    </w:p>
    <w:p w14:paraId="1600C415">
      <w:pPr>
        <w:spacing w:line="360" w:lineRule="auto"/>
        <w:ind w:firstLine="420" w:firstLineChars="200"/>
        <w:rPr>
          <w:rFonts w:hint="default" w:eastAsiaTheme="minorEastAsia"/>
          <w:lang w:val="en-US" w:eastAsia="zh-CN"/>
        </w:rPr>
      </w:pPr>
      <w:r>
        <w:rPr>
          <w:rFonts w:hint="eastAsia"/>
          <w:lang w:val="en-US" w:eastAsia="zh-CN"/>
        </w:rPr>
        <w:t>4.</w:t>
      </w:r>
      <w:r>
        <w:rPr>
          <w:color w:val="auto"/>
          <w:sz w:val="21"/>
        </w:rPr>
        <w:t>免赔额：</w:t>
      </w:r>
      <w:r>
        <w:rPr>
          <w:rFonts w:hint="eastAsia" w:ascii="宋体" w:hAnsi="宋体" w:eastAsia="宋体" w:cs="宋体"/>
          <w:b w:val="0"/>
          <w:bCs/>
          <w:color w:val="000000"/>
          <w:kern w:val="0"/>
          <w:sz w:val="21"/>
          <w:szCs w:val="21"/>
          <w:lang w:val="en-US" w:eastAsia="zh-CN"/>
        </w:rPr>
        <w:t>2000元或者10%，以高者为准。</w:t>
      </w:r>
    </w:p>
    <w:p w14:paraId="203C09A6">
      <w:pPr>
        <w:spacing w:line="360" w:lineRule="auto"/>
        <w:ind w:firstLine="420" w:firstLineChars="200"/>
        <w:rPr>
          <w:rFonts w:hint="eastAsia" w:eastAsiaTheme="minorEastAsia"/>
          <w:sz w:val="21"/>
          <w:lang w:eastAsia="zh-CN"/>
        </w:rPr>
      </w:pPr>
      <w:r>
        <w:rPr>
          <w:rFonts w:hint="eastAsia"/>
          <w:lang w:val="en-US" w:eastAsia="zh-CN"/>
        </w:rPr>
        <w:t>5.</w:t>
      </w:r>
      <w:r>
        <w:rPr>
          <w:sz w:val="21"/>
        </w:rPr>
        <w:t>承保基础：期内索赔制</w:t>
      </w:r>
      <w:r>
        <w:rPr>
          <w:rFonts w:hint="eastAsia"/>
          <w:sz w:val="21"/>
          <w:lang w:eastAsia="zh-CN"/>
        </w:rPr>
        <w:t>。</w:t>
      </w:r>
    </w:p>
    <w:p w14:paraId="48A987B5">
      <w:pPr>
        <w:spacing w:line="360" w:lineRule="auto"/>
        <w:ind w:firstLine="420" w:firstLineChars="200"/>
        <w:jc w:val="both"/>
      </w:pPr>
      <w:r>
        <w:rPr>
          <w:rFonts w:hint="eastAsia"/>
          <w:sz w:val="21"/>
          <w:lang w:val="en-US" w:eastAsia="zh-CN"/>
        </w:rPr>
        <w:t>6.</w:t>
      </w:r>
      <w:r>
        <w:rPr>
          <w:sz w:val="21"/>
        </w:rPr>
        <w:t>经双方协商一致，保险人认可被保险人通过依法设立人民调解委员会达成的调解协议作为保险理赔依据，保险人授权依法设立人民调解委员会的人民调解员对于赔偿处理额度在人民币2万元以内的医疗纠纷案件可自主主导医患纠纷当事人达成调解协议，保险人依据调解协议和保险合同约定负责赔偿。</w:t>
      </w:r>
    </w:p>
    <w:p w14:paraId="2A21575B">
      <w:pPr>
        <w:spacing w:line="360" w:lineRule="auto"/>
        <w:ind w:firstLine="420" w:firstLineChars="200"/>
        <w:rPr>
          <w:sz w:val="21"/>
        </w:rPr>
      </w:pPr>
      <w:r>
        <w:rPr>
          <w:rFonts w:hint="eastAsia"/>
          <w:sz w:val="21"/>
          <w:lang w:val="en-US" w:eastAsia="zh-CN"/>
        </w:rPr>
        <w:t>7.</w:t>
      </w:r>
      <w:r>
        <w:rPr>
          <w:sz w:val="21"/>
        </w:rPr>
        <w:t>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w:t>
      </w:r>
    </w:p>
    <w:p w14:paraId="5FB388FC"/>
    <w:p w14:paraId="7D521EA9"/>
    <w:p w14:paraId="27A4B1CC"/>
    <w:p w14:paraId="6DA081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mUwYTY4YmMxNmQyNjkwYTc3YmVjYTJlNWY0NTcifQ=="/>
  </w:docVars>
  <w:rsids>
    <w:rsidRoot w:val="00000000"/>
    <w:rsid w:val="00473031"/>
    <w:rsid w:val="08505E6D"/>
    <w:rsid w:val="0973372F"/>
    <w:rsid w:val="16786D2E"/>
    <w:rsid w:val="170451A1"/>
    <w:rsid w:val="1A4D0DE6"/>
    <w:rsid w:val="1AAE57FD"/>
    <w:rsid w:val="1D540E0F"/>
    <w:rsid w:val="224D37AD"/>
    <w:rsid w:val="24C20D54"/>
    <w:rsid w:val="2FF300C4"/>
    <w:rsid w:val="34191226"/>
    <w:rsid w:val="349E1774"/>
    <w:rsid w:val="36374DCE"/>
    <w:rsid w:val="3A544BC1"/>
    <w:rsid w:val="3C805325"/>
    <w:rsid w:val="3CDB255C"/>
    <w:rsid w:val="3E660120"/>
    <w:rsid w:val="42927B60"/>
    <w:rsid w:val="47957FEA"/>
    <w:rsid w:val="48484514"/>
    <w:rsid w:val="4BDA4C77"/>
    <w:rsid w:val="4C1A5CE7"/>
    <w:rsid w:val="4D1C2B65"/>
    <w:rsid w:val="5292397E"/>
    <w:rsid w:val="557F52EE"/>
    <w:rsid w:val="56C34335"/>
    <w:rsid w:val="69D80FB6"/>
    <w:rsid w:val="6A696621"/>
    <w:rsid w:val="6E984D84"/>
    <w:rsid w:val="711C66C3"/>
    <w:rsid w:val="76BB6379"/>
    <w:rsid w:val="78B95710"/>
    <w:rsid w:val="78D651EE"/>
    <w:rsid w:val="7999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autoRedefine/>
    <w:qFormat/>
    <w:uiPriority w:val="22"/>
    <w:rPr>
      <w:b/>
      <w:bCs/>
    </w:rPr>
  </w:style>
  <w:style w:type="paragraph" w:customStyle="1" w:styleId="7">
    <w:name w:val="Body text|1"/>
    <w:basedOn w:val="1"/>
    <w:autoRedefine/>
    <w:qFormat/>
    <w:uiPriority w:val="0"/>
    <w:pPr>
      <w:spacing w:after="220" w:line="480" w:lineRule="auto"/>
      <w:ind w:firstLine="400"/>
      <w:jc w:val="left"/>
    </w:pPr>
    <w:rPr>
      <w:rFonts w:ascii="宋体" w:hAnsi="宋体" w:eastAsia="宋体" w:cs="宋体"/>
      <w:color w:val="000000"/>
      <w:kern w:val="0"/>
      <w:sz w:val="26"/>
      <w:szCs w:val="26"/>
      <w:lang w:val="zh-TW" w:eastAsia="zh-TW" w:bidi="zh-TW"/>
    </w:rPr>
  </w:style>
  <w:style w:type="paragraph" w:customStyle="1" w:styleId="8">
    <w:name w:val="元正正文标题2"/>
    <w:basedOn w:val="2"/>
    <w:autoRedefine/>
    <w:qFormat/>
    <w:uiPriority w:val="0"/>
    <w:pPr>
      <w:keepNext w:val="0"/>
      <w:keepLines w:val="0"/>
      <w:adjustRightInd w:val="0"/>
      <w:snapToGrid w:val="0"/>
      <w:spacing w:before="0" w:after="0" w:line="300" w:lineRule="auto"/>
      <w:jc w:val="center"/>
      <w:outlineLvl w:val="9"/>
    </w:pPr>
    <w:rPr>
      <w:rFonts w:ascii="宋体" w:hAnsi="宋体" w:eastAsia="宋体" w:cs="Times New Roman"/>
      <w:b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1618</Words>
  <Characters>1690</Characters>
  <Lines>0</Lines>
  <Paragraphs>0</Paragraphs>
  <TotalTime>381</TotalTime>
  <ScaleCrop>false</ScaleCrop>
  <LinksUpToDate>false</LinksUpToDate>
  <CharactersWithSpaces>1701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2024-02-23T08:13:00Z</dcterms:created>
  <dc:creator>Administrator</dc:creator>
  <cp:lastModifiedBy>梅花</cp:lastModifiedBy>
  <dcterms:modified xsi:type="dcterms:W3CDTF">2025-03-24T07:39:33Z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4990195EA92F49A2BDAB0D7B1828A1D6_13</vt:lpwstr>
  </property>
  <property fmtid="{D5CDD505-2E9C-101B-9397-08002B2CF9AE}" pid="4" name="KSOTemplateDocerSaveRecord">
    <vt:lpwstr>eyJoZGlkIjoiNTIwMjU5MjEwMDlmNzMwOThkOThiZTZlNGYwZTM0NzEiLCJ1c2VySWQiOiI0NDA5NzQyNTcifQ==</vt:lpwstr>
  </property>
</Properties>
</file>